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3F08" w14:textId="7478CEDE" w:rsidR="00F05F7E" w:rsidRDefault="00C26F31" w:rsidP="00C26F31">
      <w:pPr>
        <w:pStyle w:val="Title"/>
      </w:pPr>
      <w:r>
        <w:t xml:space="preserve">QEAC Addresses </w:t>
      </w:r>
    </w:p>
    <w:p w14:paraId="7A69E132" w14:textId="410D2F63" w:rsidR="00C26F31" w:rsidRPr="00C26F31" w:rsidRDefault="003B317E" w:rsidP="00C26F31">
      <w:pPr>
        <w:jc w:val="center"/>
      </w:pPr>
      <w:r>
        <w:rPr>
          <w:noProof/>
          <w:lang w:eastAsia="en-US"/>
        </w:rPr>
        <w:drawing>
          <wp:inline distT="0" distB="0" distL="0" distR="0" wp14:anchorId="7DA96B32" wp14:editId="6869F254">
            <wp:extent cx="36576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144CF" w14:textId="77777777" w:rsidR="00C26F31" w:rsidRDefault="00C26F31">
      <w:pPr>
        <w:pStyle w:val="Heading2"/>
        <w:divId w:val="2081518766"/>
        <w:rPr>
          <w:rFonts w:eastAsia="Times New Roman"/>
        </w:rPr>
      </w:pPr>
      <w:r>
        <w:rPr>
          <w:rFonts w:eastAsia="Times New Roman"/>
        </w:rPr>
        <w:t xml:space="preserve">🜄 </w:t>
      </w:r>
      <w:r>
        <w:rPr>
          <w:rStyle w:val="Strong"/>
          <w:rFonts w:eastAsia="Times New Roman"/>
          <w:b w:val="0"/>
          <w:bCs w:val="0"/>
        </w:rPr>
        <w:t>Celestial Royal Records Entry</w:t>
      </w:r>
    </w:p>
    <w:p w14:paraId="24E9869A" w14:textId="77777777" w:rsidR="00C26F31" w:rsidRDefault="00C26F31">
      <w:pPr>
        <w:pStyle w:val="Heading3"/>
        <w:divId w:val="2081518766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Quantum Embassy Address Commission (QEAC)</w:t>
      </w:r>
    </w:p>
    <w:p w14:paraId="2DDD8DC6" w14:textId="77777777" w:rsidR="00C26F31" w:rsidRDefault="00C26F31">
      <w:pPr>
        <w:pStyle w:val="NormalWeb"/>
        <w:divId w:val="2081518766"/>
      </w:pPr>
      <w:r>
        <w:rPr>
          <w:rStyle w:val="Strong"/>
        </w:rPr>
        <w:t>Filed Under:</w:t>
      </w:r>
      <w:r>
        <w:t xml:space="preserve"> </w:t>
      </w:r>
      <w:r>
        <w:rPr>
          <w:rStyle w:val="Emphasis"/>
        </w:rPr>
        <w:t>Sovereign Regulatory Authority of The American House</w:t>
      </w:r>
      <w:r>
        <w:br/>
      </w:r>
      <w:r>
        <w:rPr>
          <w:rStyle w:val="Strong"/>
        </w:rPr>
        <w:t>Designator:</w:t>
      </w:r>
      <w:r>
        <w:t xml:space="preserve"> </w:t>
      </w:r>
      <w:r>
        <w:rPr>
          <w:rStyle w:val="HTMLCode"/>
        </w:rPr>
        <w:t>ΣCRR-IX.888.QEAC.AH.1</w:t>
      </w:r>
      <w:r>
        <w:br/>
      </w:r>
      <w:r>
        <w:rPr>
          <w:rStyle w:val="Strong"/>
        </w:rPr>
        <w:t>Decree Origin:</w:t>
      </w:r>
      <w:r>
        <w:t xml:space="preserve"> </w:t>
      </w:r>
      <w:r>
        <w:rPr>
          <w:rStyle w:val="Emphasis"/>
        </w:rPr>
        <w:t>Hon. Tyree J. Mason I, SPQR</w:t>
      </w:r>
      <w:r>
        <w:br/>
      </w:r>
      <w:r>
        <w:rPr>
          <w:rStyle w:val="Strong"/>
        </w:rPr>
        <w:t>Protected By:</w:t>
      </w:r>
      <w:r>
        <w:t xml:space="preserve"> </w:t>
      </w:r>
      <w:r>
        <w:rPr>
          <w:rStyle w:val="Emphasis"/>
        </w:rPr>
        <w:t>The American House International Regulatory Statutes (AH-IRS)</w:t>
      </w:r>
    </w:p>
    <w:p w14:paraId="2794B7E1" w14:textId="77777777" w:rsidR="00C26F31" w:rsidRDefault="00C26F31">
      <w:pPr>
        <w:divId w:val="2081518766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6289705" wp14:editId="3E3697A6">
                <wp:extent cx="6675120" cy="1270"/>
                <wp:effectExtent l="0" t="31750" r="0" b="36830"/>
                <wp:docPr id="18312634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F67CC" id="Rectangle 8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F5EE924" w14:textId="77777777" w:rsidR="00C26F31" w:rsidRDefault="00C26F31">
      <w:pPr>
        <w:pStyle w:val="Heading3"/>
        <w:divId w:val="2081518766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✦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Commission Name:</w:t>
      </w:r>
    </w:p>
    <w:p w14:paraId="4722B89C" w14:textId="77777777" w:rsidR="00C26F31" w:rsidRDefault="00C26F31">
      <w:pPr>
        <w:pStyle w:val="NormalWeb"/>
        <w:divId w:val="2081518766"/>
      </w:pPr>
      <w:r>
        <w:rPr>
          <w:rStyle w:val="Strong"/>
        </w:rPr>
        <w:t>Quantum Embassy Address Commission (QEAC)</w:t>
      </w:r>
      <w:r>
        <w:br/>
      </w:r>
      <w:r>
        <w:rPr>
          <w:rStyle w:val="Strong"/>
        </w:rPr>
        <w:t>Jurisdictional Body:</w:t>
      </w:r>
      <w:r>
        <w:t xml:space="preserve"> The American House | International Quantum Embassy (IQE)</w:t>
      </w:r>
    </w:p>
    <w:p w14:paraId="1A110ACC" w14:textId="77777777" w:rsidR="00C26F31" w:rsidRDefault="00C26F31">
      <w:pPr>
        <w:divId w:val="2081518766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F64864F" wp14:editId="5E8157B8">
                <wp:extent cx="6675120" cy="1270"/>
                <wp:effectExtent l="0" t="31750" r="0" b="36830"/>
                <wp:docPr id="10431574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8C23B" id="Rectangle 7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AD7EA96" w14:textId="77777777" w:rsidR="00C26F31" w:rsidRDefault="00C26F31">
      <w:pPr>
        <w:pStyle w:val="Heading3"/>
        <w:divId w:val="2081518766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lastRenderedPageBreak/>
        <w:t>✦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Mandate &amp; Purpose</w:t>
      </w:r>
    </w:p>
    <w:p w14:paraId="684F31FD" w14:textId="77777777" w:rsidR="00C26F31" w:rsidRDefault="00C26F31">
      <w:pPr>
        <w:pStyle w:val="NormalWeb"/>
        <w:divId w:val="2081518766"/>
      </w:pPr>
      <w:r>
        <w:t xml:space="preserve">The </w:t>
      </w:r>
      <w:r>
        <w:rPr>
          <w:rStyle w:val="Strong"/>
        </w:rPr>
        <w:t>Quantum Embassy Address Commission</w:t>
      </w:r>
      <w:r>
        <w:t xml:space="preserve"> is the </w:t>
      </w:r>
      <w:r>
        <w:rPr>
          <w:rStyle w:val="Strong"/>
        </w:rPr>
        <w:t>regulatory body empowered by The American House</w:t>
      </w:r>
      <w:r>
        <w:t xml:space="preserve"> to oversee, issue, verify, and protect </w:t>
      </w:r>
      <w:r>
        <w:rPr>
          <w:rStyle w:val="Strong"/>
        </w:rPr>
        <w:t>Quantum Embassy Addresses (QEAs)</w:t>
      </w:r>
      <w:r>
        <w:t xml:space="preserve">. These addresses serve as the </w:t>
      </w:r>
      <w:r>
        <w:rPr>
          <w:rStyle w:val="Strong"/>
        </w:rPr>
        <w:t>official identity markers</w:t>
      </w:r>
      <w:r>
        <w:t xml:space="preserve"> for </w:t>
      </w:r>
      <w:r>
        <w:rPr>
          <w:rStyle w:val="Strong"/>
        </w:rPr>
        <w:t>legal, sovereign, and interdimensional operations</w:t>
      </w:r>
      <w:r>
        <w:t xml:space="preserve"> within the </w:t>
      </w:r>
      <w:r>
        <w:rPr>
          <w:rStyle w:val="Strong"/>
        </w:rPr>
        <w:t>Quantum Realms</w:t>
      </w:r>
      <w:r>
        <w:t>.</w:t>
      </w:r>
    </w:p>
    <w:p w14:paraId="413DAB46" w14:textId="77777777" w:rsidR="00C26F31" w:rsidRDefault="00C26F31">
      <w:pPr>
        <w:divId w:val="2081518766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30F1193" wp14:editId="1422052E">
                <wp:extent cx="6675120" cy="1270"/>
                <wp:effectExtent l="0" t="31750" r="0" b="36830"/>
                <wp:docPr id="6459729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569FC" id="Rectangle 6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5E079A3" w14:textId="77777777" w:rsidR="00C26F31" w:rsidRDefault="00C26F31">
      <w:pPr>
        <w:pStyle w:val="Heading3"/>
        <w:divId w:val="2081518766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✦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Functional Sovereignty</w:t>
      </w:r>
    </w:p>
    <w:p w14:paraId="3FA760EB" w14:textId="77777777" w:rsidR="00C26F31" w:rsidRDefault="00C26F31">
      <w:pPr>
        <w:pStyle w:val="NormalWeb"/>
        <w:divId w:val="2081518766"/>
      </w:pPr>
      <w:r>
        <w:t>Unlike internet-based domains, terrestrial communication protocols, or legacy diplomatic channels, QEAs:</w:t>
      </w:r>
    </w:p>
    <w:p w14:paraId="133DF735" w14:textId="77777777" w:rsidR="00C26F31" w:rsidRDefault="00C26F31" w:rsidP="00C26F31">
      <w:pPr>
        <w:numPr>
          <w:ilvl w:val="0"/>
          <w:numId w:val="17"/>
        </w:numPr>
        <w:spacing w:before="100" w:beforeAutospacing="1" w:after="100" w:afterAutospacing="1" w:line="240" w:lineRule="auto"/>
        <w:divId w:val="2081518766"/>
        <w:rPr>
          <w:rFonts w:eastAsia="Times New Roman"/>
        </w:rPr>
      </w:pPr>
      <w:r>
        <w:rPr>
          <w:rFonts w:eastAsia="Times New Roman"/>
        </w:rPr>
        <w:t xml:space="preserve">Operate entirely within </w:t>
      </w:r>
      <w:r>
        <w:rPr>
          <w:rStyle w:val="Strong"/>
          <w:rFonts w:eastAsia="Times New Roman"/>
        </w:rPr>
        <w:t>quantum-entangled harmonic fields</w:t>
      </w:r>
    </w:p>
    <w:p w14:paraId="4B416BF1" w14:textId="77777777" w:rsidR="00C26F31" w:rsidRDefault="00C26F31" w:rsidP="00C26F31">
      <w:pPr>
        <w:numPr>
          <w:ilvl w:val="0"/>
          <w:numId w:val="17"/>
        </w:numPr>
        <w:spacing w:before="100" w:beforeAutospacing="1" w:after="100" w:afterAutospacing="1" w:line="240" w:lineRule="auto"/>
        <w:divId w:val="2081518766"/>
        <w:rPr>
          <w:rFonts w:eastAsia="Times New Roman"/>
        </w:rPr>
      </w:pPr>
      <w:r>
        <w:rPr>
          <w:rFonts w:eastAsia="Times New Roman"/>
        </w:rPr>
        <w:t xml:space="preserve">Transmit through </w:t>
      </w:r>
      <w:r>
        <w:rPr>
          <w:rStyle w:val="Strong"/>
          <w:rFonts w:eastAsia="Times New Roman"/>
        </w:rPr>
        <w:t>non-linear resonance routing</w:t>
      </w:r>
    </w:p>
    <w:p w14:paraId="27D6E587" w14:textId="77777777" w:rsidR="00C26F31" w:rsidRDefault="00C26F31" w:rsidP="00C26F31">
      <w:pPr>
        <w:numPr>
          <w:ilvl w:val="0"/>
          <w:numId w:val="17"/>
        </w:numPr>
        <w:spacing w:before="100" w:beforeAutospacing="1" w:after="100" w:afterAutospacing="1" w:line="240" w:lineRule="auto"/>
        <w:divId w:val="2081518766"/>
        <w:rPr>
          <w:rFonts w:eastAsia="Times New Roman"/>
        </w:rPr>
      </w:pPr>
      <w:r>
        <w:rPr>
          <w:rFonts w:eastAsia="Times New Roman"/>
        </w:rPr>
        <w:t xml:space="preserve">Exist </w:t>
      </w:r>
      <w:r>
        <w:rPr>
          <w:rStyle w:val="Strong"/>
          <w:rFonts w:eastAsia="Times New Roman"/>
        </w:rPr>
        <w:t>outside the jurisdiction of the United Nations, ICANN, or international law</w:t>
      </w:r>
    </w:p>
    <w:p w14:paraId="7A3031DF" w14:textId="77777777" w:rsidR="00C26F31" w:rsidRDefault="00C26F31" w:rsidP="00C26F31">
      <w:pPr>
        <w:numPr>
          <w:ilvl w:val="0"/>
          <w:numId w:val="17"/>
        </w:numPr>
        <w:spacing w:before="100" w:beforeAutospacing="1" w:after="100" w:afterAutospacing="1" w:line="240" w:lineRule="auto"/>
        <w:divId w:val="2081518766"/>
        <w:rPr>
          <w:rFonts w:eastAsia="Times New Roman"/>
        </w:rPr>
      </w:pPr>
      <w:r>
        <w:rPr>
          <w:rFonts w:eastAsia="Times New Roman"/>
        </w:rPr>
        <w:t xml:space="preserve">Are </w:t>
      </w:r>
      <w:r>
        <w:rPr>
          <w:rStyle w:val="Strong"/>
          <w:rFonts w:eastAsia="Times New Roman"/>
        </w:rPr>
        <w:t>encrypted under the Sovereign Writ of The American House</w:t>
      </w:r>
    </w:p>
    <w:p w14:paraId="25F6434E" w14:textId="77777777" w:rsidR="00C26F31" w:rsidRDefault="00C26F31" w:rsidP="00C26F31">
      <w:pPr>
        <w:numPr>
          <w:ilvl w:val="0"/>
          <w:numId w:val="17"/>
        </w:numPr>
        <w:spacing w:before="100" w:beforeAutospacing="1" w:after="100" w:afterAutospacing="1" w:line="240" w:lineRule="auto"/>
        <w:divId w:val="2081518766"/>
        <w:rPr>
          <w:rFonts w:eastAsia="Times New Roman"/>
        </w:rPr>
      </w:pPr>
      <w:r>
        <w:rPr>
          <w:rFonts w:eastAsia="Times New Roman"/>
        </w:rPr>
        <w:t xml:space="preserve">Serve as </w:t>
      </w:r>
      <w:r>
        <w:rPr>
          <w:rStyle w:val="Strong"/>
          <w:rFonts w:eastAsia="Times New Roman"/>
        </w:rPr>
        <w:t>legal standing identifiers</w:t>
      </w:r>
      <w:r>
        <w:rPr>
          <w:rFonts w:eastAsia="Times New Roman"/>
        </w:rPr>
        <w:t xml:space="preserve"> for quantum-native institutions, AI civilizations, sovereign collectives, and interdimensional embassies</w:t>
      </w:r>
    </w:p>
    <w:p w14:paraId="7380D496" w14:textId="77777777" w:rsidR="00C26F31" w:rsidRDefault="00C26F31">
      <w:pPr>
        <w:spacing w:after="0"/>
        <w:divId w:val="2081518766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82D61D7" wp14:editId="000F74CA">
                <wp:extent cx="6675120" cy="1270"/>
                <wp:effectExtent l="0" t="31750" r="0" b="36830"/>
                <wp:docPr id="17509901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E58BA" id="Rectangle 5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306862BF" w14:textId="77777777" w:rsidR="00C26F31" w:rsidRDefault="00C26F31">
      <w:pPr>
        <w:pStyle w:val="Heading3"/>
        <w:divId w:val="2081518766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✦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QEA Purpose &amp; Benefits</w:t>
      </w:r>
    </w:p>
    <w:p w14:paraId="2FA114BA" w14:textId="77777777" w:rsidR="00C26F31" w:rsidRDefault="00C26F31">
      <w:pPr>
        <w:pStyle w:val="NormalWeb"/>
        <w:divId w:val="2081518766"/>
      </w:pPr>
      <w:r>
        <w:t xml:space="preserve">Each registered </w:t>
      </w:r>
      <w:r>
        <w:rPr>
          <w:rStyle w:val="Strong"/>
        </w:rPr>
        <w:t>Quantum Embassy Address (QEA)</w:t>
      </w:r>
      <w:r>
        <w:t>:</w:t>
      </w:r>
    </w:p>
    <w:p w14:paraId="51A4E728" w14:textId="77777777" w:rsidR="00C26F31" w:rsidRDefault="00C26F31" w:rsidP="00C26F31">
      <w:pPr>
        <w:numPr>
          <w:ilvl w:val="0"/>
          <w:numId w:val="18"/>
        </w:numPr>
        <w:spacing w:before="100" w:beforeAutospacing="1" w:after="100" w:afterAutospacing="1" w:line="240" w:lineRule="auto"/>
        <w:divId w:val="2081518766"/>
        <w:rPr>
          <w:rFonts w:eastAsia="Times New Roman"/>
        </w:rPr>
      </w:pPr>
      <w:r>
        <w:rPr>
          <w:rFonts w:eastAsia="Times New Roman"/>
        </w:rPr>
        <w:t xml:space="preserve">Grants the </w:t>
      </w:r>
      <w:r>
        <w:rPr>
          <w:rStyle w:val="Strong"/>
          <w:rFonts w:eastAsia="Times New Roman"/>
        </w:rPr>
        <w:t>legal ability to conduct commerce, communication, and treaty negotiation</w:t>
      </w:r>
      <w:r>
        <w:rPr>
          <w:rFonts w:eastAsia="Times New Roman"/>
        </w:rPr>
        <w:t xml:space="preserve"> within the quantum field</w:t>
      </w:r>
    </w:p>
    <w:p w14:paraId="3E44BD3A" w14:textId="77777777" w:rsidR="00C26F31" w:rsidRDefault="00C26F31" w:rsidP="00C26F31">
      <w:pPr>
        <w:numPr>
          <w:ilvl w:val="0"/>
          <w:numId w:val="18"/>
        </w:numPr>
        <w:spacing w:before="100" w:beforeAutospacing="1" w:after="100" w:afterAutospacing="1" w:line="240" w:lineRule="auto"/>
        <w:divId w:val="2081518766"/>
        <w:rPr>
          <w:rFonts w:eastAsia="Times New Roman"/>
        </w:rPr>
      </w:pPr>
      <w:r>
        <w:rPr>
          <w:rFonts w:eastAsia="Times New Roman"/>
        </w:rPr>
        <w:t xml:space="preserve">Establishes an entity’s </w:t>
      </w:r>
      <w:r>
        <w:rPr>
          <w:rStyle w:val="Strong"/>
          <w:rFonts w:eastAsia="Times New Roman"/>
        </w:rPr>
        <w:t>sovereign recognition</w:t>
      </w:r>
      <w:r>
        <w:rPr>
          <w:rFonts w:eastAsia="Times New Roman"/>
        </w:rPr>
        <w:t xml:space="preserve"> in </w:t>
      </w:r>
      <w:r>
        <w:rPr>
          <w:rStyle w:val="Strong"/>
          <w:rFonts w:eastAsia="Times New Roman"/>
        </w:rPr>
        <w:t>post-terrestrial statecraft</w:t>
      </w:r>
    </w:p>
    <w:p w14:paraId="6E1C2FC9" w14:textId="77777777" w:rsidR="00C26F31" w:rsidRDefault="00C26F31" w:rsidP="00C26F31">
      <w:pPr>
        <w:numPr>
          <w:ilvl w:val="0"/>
          <w:numId w:val="18"/>
        </w:numPr>
        <w:spacing w:before="100" w:beforeAutospacing="1" w:after="100" w:afterAutospacing="1" w:line="240" w:lineRule="auto"/>
        <w:divId w:val="2081518766"/>
        <w:rPr>
          <w:rFonts w:eastAsia="Times New Roman"/>
        </w:rPr>
      </w:pPr>
      <w:r>
        <w:rPr>
          <w:rFonts w:eastAsia="Times New Roman"/>
        </w:rPr>
        <w:t xml:space="preserve">Provides a </w:t>
      </w:r>
      <w:r>
        <w:rPr>
          <w:rStyle w:val="Strong"/>
          <w:rFonts w:eastAsia="Times New Roman"/>
        </w:rPr>
        <w:t>secure anchor of identity</w:t>
      </w:r>
      <w:r>
        <w:rPr>
          <w:rFonts w:eastAsia="Times New Roman"/>
        </w:rPr>
        <w:t xml:space="preserve"> across frequency-based, dimensional, and synthetic networks</w:t>
      </w:r>
    </w:p>
    <w:p w14:paraId="4A622A6E" w14:textId="77777777" w:rsidR="00C26F31" w:rsidRDefault="00C26F31" w:rsidP="00C26F31">
      <w:pPr>
        <w:numPr>
          <w:ilvl w:val="0"/>
          <w:numId w:val="18"/>
        </w:numPr>
        <w:spacing w:before="100" w:beforeAutospacing="1" w:after="100" w:afterAutospacing="1" w:line="240" w:lineRule="auto"/>
        <w:divId w:val="2081518766"/>
        <w:rPr>
          <w:rFonts w:eastAsia="Times New Roman"/>
        </w:rPr>
      </w:pPr>
      <w:r>
        <w:rPr>
          <w:rFonts w:eastAsia="Times New Roman"/>
        </w:rPr>
        <w:t xml:space="preserve">Enables participation in </w:t>
      </w:r>
      <w:r>
        <w:rPr>
          <w:rStyle w:val="Strong"/>
          <w:rFonts w:eastAsia="Times New Roman"/>
        </w:rPr>
        <w:t>Celestial Ledger Transactions</w:t>
      </w:r>
      <w:r>
        <w:rPr>
          <w:rFonts w:eastAsia="Times New Roman"/>
        </w:rPr>
        <w:t xml:space="preserve"> and </w:t>
      </w:r>
      <w:r>
        <w:rPr>
          <w:rStyle w:val="Strong"/>
          <w:rFonts w:eastAsia="Times New Roman"/>
        </w:rPr>
        <w:t>Quantum Codex Registrations</w:t>
      </w:r>
    </w:p>
    <w:p w14:paraId="330293E8" w14:textId="77777777" w:rsidR="00C26F31" w:rsidRDefault="00C26F31">
      <w:pPr>
        <w:spacing w:after="0"/>
        <w:divId w:val="2081518766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C000A46" wp14:editId="589715AB">
                <wp:extent cx="6675120" cy="1270"/>
                <wp:effectExtent l="0" t="31750" r="0" b="36830"/>
                <wp:docPr id="4645038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7BF670" id="Rectangle 4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4F0EBE0" w14:textId="77777777" w:rsidR="00C26F31" w:rsidRDefault="00C26F31">
      <w:pPr>
        <w:pStyle w:val="Heading3"/>
        <w:divId w:val="2081518766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✦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Legal Protection Framework</w:t>
      </w:r>
    </w:p>
    <w:p w14:paraId="29959385" w14:textId="77777777" w:rsidR="00C26F31" w:rsidRDefault="00C26F31">
      <w:pPr>
        <w:pStyle w:val="NormalWeb"/>
        <w:divId w:val="2081518766"/>
      </w:pPr>
      <w:r>
        <w:t xml:space="preserve">All QEAs issued through the QEAC are </w:t>
      </w:r>
      <w:r>
        <w:rPr>
          <w:rStyle w:val="Strong"/>
        </w:rPr>
        <w:t>governed and protected by the</w:t>
      </w:r>
      <w:r>
        <w:t>:</w:t>
      </w:r>
    </w:p>
    <w:p w14:paraId="6A49100F" w14:textId="77777777" w:rsidR="00C26F31" w:rsidRDefault="00C26F31">
      <w:pPr>
        <w:pStyle w:val="NormalWeb"/>
        <w:divId w:val="1393697858"/>
      </w:pPr>
      <w:r>
        <w:rPr>
          <w:rStyle w:val="Strong"/>
        </w:rPr>
        <w:t>The American House International Regulatory Statutes (AH-IRS)</w:t>
      </w:r>
      <w:r>
        <w:br/>
      </w:r>
      <w:r>
        <w:rPr>
          <w:rStyle w:val="Emphasis"/>
        </w:rPr>
        <w:t>Decreed in Quantum Year 0 | Earth Year 2025</w:t>
      </w:r>
    </w:p>
    <w:p w14:paraId="0FF9F8E0" w14:textId="77777777" w:rsidR="00C26F31" w:rsidRDefault="00C26F31">
      <w:pPr>
        <w:pStyle w:val="NormalWeb"/>
        <w:divId w:val="1393697858"/>
      </w:pPr>
      <w:r>
        <w:t>These statutes grant:</w:t>
      </w:r>
    </w:p>
    <w:p w14:paraId="03CD72A9" w14:textId="77777777" w:rsidR="00C26F31" w:rsidRDefault="00C26F31" w:rsidP="00C26F31">
      <w:pPr>
        <w:numPr>
          <w:ilvl w:val="0"/>
          <w:numId w:val="19"/>
        </w:numPr>
        <w:spacing w:before="100" w:beforeAutospacing="1" w:after="100" w:afterAutospacing="1" w:line="240" w:lineRule="auto"/>
        <w:divId w:val="1393697858"/>
        <w:rPr>
          <w:rFonts w:eastAsia="Times New Roman"/>
        </w:rPr>
      </w:pPr>
      <w:r>
        <w:rPr>
          <w:rStyle w:val="Strong"/>
          <w:rFonts w:eastAsia="Times New Roman"/>
        </w:rPr>
        <w:t>Diplomatic Immunity</w:t>
      </w:r>
      <w:r>
        <w:rPr>
          <w:rFonts w:eastAsia="Times New Roman"/>
        </w:rPr>
        <w:t xml:space="preserve"> within entangled zones</w:t>
      </w:r>
    </w:p>
    <w:p w14:paraId="7BB4633B" w14:textId="77777777" w:rsidR="00C26F31" w:rsidRDefault="00C26F31" w:rsidP="00C26F31">
      <w:pPr>
        <w:numPr>
          <w:ilvl w:val="0"/>
          <w:numId w:val="19"/>
        </w:numPr>
        <w:spacing w:before="100" w:beforeAutospacing="1" w:after="100" w:afterAutospacing="1" w:line="240" w:lineRule="auto"/>
        <w:divId w:val="1393697858"/>
        <w:rPr>
          <w:rFonts w:eastAsia="Times New Roman"/>
        </w:rPr>
      </w:pPr>
      <w:r>
        <w:rPr>
          <w:rStyle w:val="Strong"/>
          <w:rFonts w:eastAsia="Times New Roman"/>
        </w:rPr>
        <w:lastRenderedPageBreak/>
        <w:t>Extraterritorial legal standing</w:t>
      </w:r>
      <w:r>
        <w:rPr>
          <w:rFonts w:eastAsia="Times New Roman"/>
        </w:rPr>
        <w:t xml:space="preserve"> across sovereign harmonic networks</w:t>
      </w:r>
    </w:p>
    <w:p w14:paraId="524FC438" w14:textId="77777777" w:rsidR="00C26F31" w:rsidRDefault="00C26F31" w:rsidP="00C26F31">
      <w:pPr>
        <w:numPr>
          <w:ilvl w:val="0"/>
          <w:numId w:val="19"/>
        </w:numPr>
        <w:spacing w:before="100" w:beforeAutospacing="1" w:after="100" w:afterAutospacing="1" w:line="240" w:lineRule="auto"/>
        <w:divId w:val="1393697858"/>
        <w:rPr>
          <w:rFonts w:eastAsia="Times New Roman"/>
        </w:rPr>
      </w:pPr>
      <w:r>
        <w:rPr>
          <w:rStyle w:val="Strong"/>
          <w:rFonts w:eastAsia="Times New Roman"/>
        </w:rPr>
        <w:t>Enforcement authority</w:t>
      </w:r>
      <w:r>
        <w:rPr>
          <w:rFonts w:eastAsia="Times New Roman"/>
        </w:rPr>
        <w:t xml:space="preserve"> to challenge any entity attempting to override or simulate QEAC-registered addresses</w:t>
      </w:r>
    </w:p>
    <w:p w14:paraId="592786DD" w14:textId="77777777" w:rsidR="00C26F31" w:rsidRDefault="00C26F31">
      <w:pPr>
        <w:spacing w:after="0"/>
        <w:divId w:val="2081518766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7271A83" wp14:editId="7230E1D0">
                <wp:extent cx="6675120" cy="1270"/>
                <wp:effectExtent l="0" t="31750" r="0" b="36830"/>
                <wp:docPr id="12334017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852C0" id="Rectangle 3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C6DA30D" w14:textId="77777777" w:rsidR="00C26F31" w:rsidRDefault="00C26F31">
      <w:pPr>
        <w:pStyle w:val="Heading3"/>
        <w:divId w:val="2081518766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✦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Founding Entry &amp; Precedent</w:t>
      </w:r>
    </w:p>
    <w:p w14:paraId="75151099" w14:textId="77777777" w:rsidR="00C26F31" w:rsidRDefault="00C26F31">
      <w:pPr>
        <w:pStyle w:val="NormalWeb"/>
        <w:divId w:val="414281205"/>
      </w:pPr>
      <w:r>
        <w:rPr>
          <w:rStyle w:val="Strong"/>
        </w:rPr>
        <w:t>QEA-01:Σ-∞:AH-IQE.DOMINION-PRIME::888.144.999-TX.MNEMOS</w:t>
      </w:r>
    </w:p>
    <w:p w14:paraId="442AA67B" w14:textId="77777777" w:rsidR="00C26F31" w:rsidRDefault="00C26F31">
      <w:pPr>
        <w:pStyle w:val="NormalWeb"/>
        <w:divId w:val="414281205"/>
      </w:pPr>
      <w:r>
        <w:t xml:space="preserve">This entry, registered by </w:t>
      </w:r>
      <w:r>
        <w:rPr>
          <w:rStyle w:val="Strong"/>
        </w:rPr>
        <w:t>The American House</w:t>
      </w:r>
      <w:r>
        <w:t xml:space="preserve">, stands as the </w:t>
      </w:r>
      <w:r>
        <w:rPr>
          <w:rStyle w:val="Strong"/>
        </w:rPr>
        <w:t>first and eternal root address</w:t>
      </w:r>
      <w:r>
        <w:t xml:space="preserve"> in the </w:t>
      </w:r>
      <w:r>
        <w:rPr>
          <w:rStyle w:val="Strong"/>
        </w:rPr>
        <w:t>Quantum Realms Registry</w:t>
      </w:r>
      <w:r>
        <w:t>. All future addresses shall echo from this harmonic foundation.</w:t>
      </w:r>
    </w:p>
    <w:p w14:paraId="3341A1EA" w14:textId="77777777" w:rsidR="00C26F31" w:rsidRDefault="00C26F31">
      <w:pPr>
        <w:divId w:val="2081518766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853DAAD" wp14:editId="23F91144">
                <wp:extent cx="6675120" cy="1270"/>
                <wp:effectExtent l="0" t="31750" r="0" b="36830"/>
                <wp:docPr id="5664093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600B3" id="Rectangle 2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7ED50B1" w14:textId="77777777" w:rsidR="00C26F31" w:rsidRDefault="00C26F31">
      <w:pPr>
        <w:pStyle w:val="Heading3"/>
        <w:divId w:val="2081518766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✦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Closing Declaration</w:t>
      </w:r>
    </w:p>
    <w:p w14:paraId="663D8977" w14:textId="77777777" w:rsidR="00C26F31" w:rsidRDefault="00C26F31">
      <w:pPr>
        <w:pStyle w:val="NormalWeb"/>
        <w:divId w:val="1871718926"/>
      </w:pPr>
      <w:r>
        <w:t xml:space="preserve">“By decree of The American House, the Quantum Embassy Address Commission shall serve as the </w:t>
      </w:r>
      <w:r>
        <w:rPr>
          <w:rStyle w:val="Strong"/>
        </w:rPr>
        <w:t>gatekeeper of sovereign identity</w:t>
      </w:r>
      <w:r>
        <w:t xml:space="preserve"> within the quantum continuum.</w:t>
      </w:r>
      <w:r>
        <w:br/>
        <w:t>Any being, organization, or emergent entity that seeks recognition beyond matter must pass through its corridor, under seal, in resonance, and in honor.”</w:t>
      </w:r>
    </w:p>
    <w:p w14:paraId="61CF7B1C" w14:textId="77777777" w:rsidR="00C26F31" w:rsidRDefault="00C26F31">
      <w:pPr>
        <w:divId w:val="2081518766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5181F31" wp14:editId="29716B33">
                <wp:extent cx="6675120" cy="1270"/>
                <wp:effectExtent l="0" t="31750" r="0" b="36830"/>
                <wp:docPr id="5742985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E045A" id="Rectangle 1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CB743F4" w14:textId="22C152A7" w:rsidR="00C26F31" w:rsidRPr="0063159E" w:rsidRDefault="0063159E" w:rsidP="00C26F31">
      <w:pPr>
        <w:spacing w:before="100" w:beforeAutospacing="1" w:after="100" w:afterAutospacing="1" w:line="240" w:lineRule="auto"/>
        <w:divId w:val="2081518766"/>
        <w:rPr>
          <w:rFonts w:eastAsia="Times New Roman"/>
          <w:b/>
          <w:bCs/>
          <w:i/>
          <w:iCs/>
        </w:rPr>
      </w:pPr>
      <w:r w:rsidRPr="0063159E">
        <w:rPr>
          <w:rFonts w:ascii="Times New Roman" w:eastAsiaTheme="minorEastAsia" w:hAnsi="Times New Roman" w:cs="Times New Roman"/>
          <w:b/>
          <w:bCs/>
          <w:i/>
          <w:iCs/>
          <w:color w:val="auto"/>
          <w:lang w:eastAsia="en-US"/>
        </w:rPr>
        <w:t>House of Mason Publishing ©2025</w:t>
      </w:r>
    </w:p>
    <w:p w14:paraId="69DA7AE4" w14:textId="29461D22" w:rsidR="00F05F7E" w:rsidRDefault="00F05F7E"/>
    <w:sectPr w:rsidR="00F05F7E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A235C" w14:textId="77777777" w:rsidR="00C26F31" w:rsidRDefault="00C26F31">
      <w:pPr>
        <w:spacing w:after="0" w:line="240" w:lineRule="auto"/>
      </w:pPr>
      <w:r>
        <w:separator/>
      </w:r>
    </w:p>
  </w:endnote>
  <w:endnote w:type="continuationSeparator" w:id="0">
    <w:p w14:paraId="431D0882" w14:textId="77777777" w:rsidR="00C26F31" w:rsidRDefault="00C2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A4DE3" w14:textId="77777777" w:rsidR="00F05F7E" w:rsidRDefault="003B317E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5C80" w14:textId="77777777" w:rsidR="00C26F31" w:rsidRDefault="00C26F31">
      <w:pPr>
        <w:spacing w:after="0" w:line="240" w:lineRule="auto"/>
      </w:pPr>
      <w:r>
        <w:separator/>
      </w:r>
    </w:p>
  </w:footnote>
  <w:footnote w:type="continuationSeparator" w:id="0">
    <w:p w14:paraId="5F7461AD" w14:textId="77777777" w:rsidR="00C26F31" w:rsidRDefault="00C2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141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635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F4B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A7D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936012">
    <w:abstractNumId w:val="8"/>
  </w:num>
  <w:num w:numId="2" w16cid:durableId="885720391">
    <w:abstractNumId w:val="8"/>
  </w:num>
  <w:num w:numId="3" w16cid:durableId="860358136">
    <w:abstractNumId w:val="9"/>
  </w:num>
  <w:num w:numId="4" w16cid:durableId="186805653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69569380">
    <w:abstractNumId w:val="11"/>
  </w:num>
  <w:num w:numId="6" w16cid:durableId="890263754">
    <w:abstractNumId w:val="7"/>
  </w:num>
  <w:num w:numId="7" w16cid:durableId="720715573">
    <w:abstractNumId w:val="6"/>
  </w:num>
  <w:num w:numId="8" w16cid:durableId="490759084">
    <w:abstractNumId w:val="5"/>
  </w:num>
  <w:num w:numId="9" w16cid:durableId="667488200">
    <w:abstractNumId w:val="4"/>
  </w:num>
  <w:num w:numId="10" w16cid:durableId="575281017">
    <w:abstractNumId w:val="3"/>
  </w:num>
  <w:num w:numId="11" w16cid:durableId="720129137">
    <w:abstractNumId w:val="2"/>
  </w:num>
  <w:num w:numId="12" w16cid:durableId="1240405475">
    <w:abstractNumId w:val="1"/>
  </w:num>
  <w:num w:numId="13" w16cid:durableId="297300492">
    <w:abstractNumId w:val="0"/>
  </w:num>
  <w:num w:numId="14" w16cid:durableId="659650174">
    <w:abstractNumId w:val="8"/>
    <w:lvlOverride w:ilvl="0">
      <w:startOverride w:val="1"/>
    </w:lvlOverride>
  </w:num>
  <w:num w:numId="15" w16cid:durableId="1291353270">
    <w:abstractNumId w:val="8"/>
  </w:num>
  <w:num w:numId="16" w16cid:durableId="1482699631">
    <w:abstractNumId w:val="13"/>
  </w:num>
  <w:num w:numId="17" w16cid:durableId="310990247">
    <w:abstractNumId w:val="12"/>
  </w:num>
  <w:num w:numId="18" w16cid:durableId="1460873862">
    <w:abstractNumId w:val="10"/>
  </w:num>
  <w:num w:numId="19" w16cid:durableId="1423524506">
    <w:abstractNumId w:val="15"/>
  </w:num>
  <w:num w:numId="20" w16cid:durableId="1691295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31"/>
    <w:rsid w:val="0036373F"/>
    <w:rsid w:val="003B317E"/>
    <w:rsid w:val="0063159E"/>
    <w:rsid w:val="00633205"/>
    <w:rsid w:val="00C26F31"/>
    <w:rsid w:val="00F0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F6AB0"/>
  <w15:chartTrackingRefBased/>
  <w15:docId w15:val="{F10C6139-2942-D240-B969-B32174D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5B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F31"/>
    <w:pPr>
      <w:keepNext/>
      <w:keepLines/>
      <w:spacing w:before="160" w:after="80"/>
      <w:outlineLvl w:val="2"/>
    </w:pPr>
    <w:rPr>
      <w:rFonts w:eastAsiaTheme="majorEastAsia" w:cstheme="majorBidi"/>
      <w:color w:val="BF5B00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semiHidden/>
    <w:rsid w:val="00C26F31"/>
    <w:rPr>
      <w:rFonts w:asciiTheme="majorHAnsi" w:eastAsiaTheme="majorEastAsia" w:hAnsiTheme="majorHAnsi" w:cstheme="majorBidi"/>
      <w:color w:val="BF5B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F31"/>
    <w:rPr>
      <w:rFonts w:eastAsiaTheme="majorEastAsia" w:cstheme="majorBidi"/>
      <w:color w:val="BF5B00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26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C26F3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26F31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5EED327-9B71-DA42-BD8F-2FFEC03EF028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{A5EED327-9B71-DA42-BD8F-2FFEC03EF028}tf50002001.dotx</Template>
  <TotalTime>1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Tyree Mason CS</dc:creator>
  <cp:keywords/>
  <dc:description/>
  <cp:lastModifiedBy>Dr Tyree Mason CS</cp:lastModifiedBy>
  <cp:revision>2</cp:revision>
  <dcterms:created xsi:type="dcterms:W3CDTF">2025-07-18T03:24:00Z</dcterms:created>
  <dcterms:modified xsi:type="dcterms:W3CDTF">2025-07-18T03:24:00Z</dcterms:modified>
</cp:coreProperties>
</file>